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21" w:rsidRDefault="009F65AF" w:rsidP="0087032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Crime and Misconduct Commission</w:t>
      </w:r>
      <w:r w:rsidR="00F8420A">
        <w:rPr>
          <w:rFonts w:ascii="Arial" w:hAnsi="Arial" w:cs="Arial"/>
          <w:bCs/>
          <w:spacing w:val="-3"/>
          <w:sz w:val="22"/>
          <w:szCs w:val="22"/>
        </w:rPr>
        <w:t xml:space="preserve">'s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report </w:t>
      </w:r>
      <w:r w:rsidR="00B563D1">
        <w:rPr>
          <w:rFonts w:ascii="Arial" w:hAnsi="Arial" w:cs="Arial"/>
          <w:bCs/>
          <w:i/>
          <w:spacing w:val="-3"/>
          <w:sz w:val="22"/>
          <w:szCs w:val="22"/>
        </w:rPr>
        <w:t>S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ound Advice: A review of the effectiveness of police powers in reducing excessive noise from off-road motorbikes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(the CMC Report) was tabled in Parliament </w:t>
      </w:r>
      <w:r w:rsidR="00796D21"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April 2010. This report presented </w:t>
      </w:r>
      <w:r w:rsidR="00A00A7C">
        <w:rPr>
          <w:rFonts w:ascii="Arial" w:hAnsi="Arial" w:cs="Arial"/>
          <w:bCs/>
          <w:spacing w:val="-3"/>
          <w:sz w:val="22"/>
          <w:szCs w:val="22"/>
        </w:rPr>
        <w:t>G</w:t>
      </w:r>
      <w:r>
        <w:rPr>
          <w:rFonts w:ascii="Arial" w:hAnsi="Arial" w:cs="Arial"/>
          <w:bCs/>
          <w:spacing w:val="-3"/>
          <w:sz w:val="22"/>
          <w:szCs w:val="22"/>
        </w:rPr>
        <w:t>overnment with recommendations from the CMC review of</w:t>
      </w:r>
      <w:r w:rsidR="00B563D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off-road motorcycle noise provisions with</w:t>
      </w:r>
      <w:r w:rsidR="00B563D1">
        <w:rPr>
          <w:rFonts w:ascii="Arial" w:hAnsi="Arial" w:cs="Arial"/>
          <w:bCs/>
          <w:spacing w:val="-3"/>
          <w:sz w:val="22"/>
          <w:szCs w:val="22"/>
        </w:rPr>
        <w:t>in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smartTag w:uri="urn:schemas-microsoft-com:office:smarttags" w:element="PersonName">
        <w:r>
          <w:rPr>
            <w:rFonts w:ascii="Arial" w:hAnsi="Arial" w:cs="Arial"/>
            <w:bCs/>
            <w:i/>
            <w:spacing w:val="-3"/>
            <w:sz w:val="22"/>
            <w:szCs w:val="22"/>
          </w:rPr>
          <w:t>Police</w:t>
        </w:r>
      </w:smartTag>
      <w:r>
        <w:rPr>
          <w:rFonts w:ascii="Arial" w:hAnsi="Arial" w:cs="Arial"/>
          <w:bCs/>
          <w:i/>
          <w:spacing w:val="-3"/>
          <w:sz w:val="22"/>
          <w:szCs w:val="22"/>
        </w:rPr>
        <w:t xml:space="preserve"> Powers and Responsibilities Act 2000</w:t>
      </w:r>
      <w:r w:rsidR="0022179E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22179E">
        <w:rPr>
          <w:rFonts w:ascii="Arial" w:hAnsi="Arial" w:cs="Arial"/>
          <w:bCs/>
          <w:spacing w:val="-3"/>
          <w:sz w:val="22"/>
          <w:szCs w:val="22"/>
        </w:rPr>
        <w:t>(PPRA)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870321" w:rsidRDefault="004D7381" w:rsidP="0087032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CMC </w:t>
      </w:r>
      <w:r w:rsidR="00A00A7C">
        <w:rPr>
          <w:rFonts w:ascii="Arial" w:hAnsi="Arial" w:cs="Arial"/>
          <w:bCs/>
          <w:spacing w:val="-3"/>
          <w:sz w:val="22"/>
          <w:szCs w:val="22"/>
        </w:rPr>
        <w:t>R</w:t>
      </w:r>
      <w:r>
        <w:rPr>
          <w:rFonts w:ascii="Arial" w:hAnsi="Arial" w:cs="Arial"/>
          <w:bCs/>
          <w:spacing w:val="-3"/>
          <w:sz w:val="22"/>
          <w:szCs w:val="22"/>
        </w:rPr>
        <w:t>eport recommends a</w:t>
      </w:r>
      <w:r w:rsidR="00A00A7C">
        <w:rPr>
          <w:rFonts w:ascii="Arial" w:hAnsi="Arial" w:cs="Arial"/>
          <w:bCs/>
          <w:spacing w:val="-3"/>
          <w:sz w:val="22"/>
          <w:szCs w:val="22"/>
        </w:rPr>
        <w:t>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holistic approach to the management of off-road mot</w:t>
      </w:r>
      <w:r w:rsidR="00B563D1">
        <w:rPr>
          <w:rFonts w:ascii="Arial" w:hAnsi="Arial" w:cs="Arial"/>
          <w:bCs/>
          <w:spacing w:val="-3"/>
          <w:sz w:val="22"/>
          <w:szCs w:val="22"/>
        </w:rPr>
        <w:t xml:space="preserve">orcycling </w:t>
      </w:r>
      <w:r w:rsidR="001A43A6">
        <w:rPr>
          <w:rFonts w:ascii="Arial" w:hAnsi="Arial" w:cs="Arial"/>
          <w:bCs/>
          <w:spacing w:val="-3"/>
          <w:sz w:val="22"/>
          <w:szCs w:val="22"/>
        </w:rPr>
        <w:t xml:space="preserve">issues. </w:t>
      </w:r>
      <w:r w:rsidR="009F65A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A00A7C">
        <w:rPr>
          <w:rFonts w:ascii="Arial" w:hAnsi="Arial" w:cs="Arial"/>
          <w:bCs/>
          <w:spacing w:val="-3"/>
          <w:sz w:val="22"/>
          <w:szCs w:val="22"/>
        </w:rPr>
        <w:t>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overnment welcomes and supports in principle </w:t>
      </w:r>
      <w:r w:rsidR="006E70B8">
        <w:rPr>
          <w:rFonts w:ascii="Arial" w:hAnsi="Arial" w:cs="Arial"/>
          <w:bCs/>
          <w:spacing w:val="-3"/>
          <w:sz w:val="22"/>
          <w:szCs w:val="22"/>
        </w:rPr>
        <w:t xml:space="preserve">many of </w:t>
      </w:r>
      <w:r>
        <w:rPr>
          <w:rFonts w:ascii="Arial" w:hAnsi="Arial" w:cs="Arial"/>
          <w:bCs/>
          <w:spacing w:val="-3"/>
          <w:sz w:val="22"/>
          <w:szCs w:val="22"/>
        </w:rPr>
        <w:t>the CMC recommendations</w:t>
      </w:r>
      <w:r w:rsidR="001A43A6">
        <w:rPr>
          <w:rFonts w:ascii="Arial" w:hAnsi="Arial" w:cs="Arial"/>
          <w:bCs/>
          <w:spacing w:val="-3"/>
          <w:sz w:val="22"/>
          <w:szCs w:val="22"/>
        </w:rPr>
        <w:t xml:space="preserve">, including the sustainable management and enforcement of inappropriate and illegal off-road motorcycling </w:t>
      </w:r>
      <w:r w:rsidR="0073031E">
        <w:rPr>
          <w:rFonts w:ascii="Arial" w:hAnsi="Arial" w:cs="Arial"/>
          <w:bCs/>
          <w:spacing w:val="-3"/>
          <w:sz w:val="22"/>
          <w:szCs w:val="22"/>
        </w:rPr>
        <w:t xml:space="preserve">through </w:t>
      </w:r>
      <w:r w:rsidR="001A43A6">
        <w:rPr>
          <w:rFonts w:ascii="Arial" w:hAnsi="Arial" w:cs="Arial"/>
          <w:bCs/>
          <w:spacing w:val="-3"/>
          <w:sz w:val="22"/>
          <w:szCs w:val="22"/>
        </w:rPr>
        <w:t xml:space="preserve">a collaborative state and local government effort.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BD06C9" w:rsidRPr="0090445D" w:rsidRDefault="00BD06C9" w:rsidP="0087032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445D">
        <w:rPr>
          <w:rFonts w:ascii="Arial" w:hAnsi="Arial" w:cs="Arial"/>
          <w:bCs/>
          <w:spacing w:val="-3"/>
          <w:sz w:val="22"/>
          <w:szCs w:val="22"/>
        </w:rPr>
        <w:t>The</w:t>
      </w:r>
      <w:r w:rsidR="0022179E" w:rsidRPr="0090445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8420A">
        <w:rPr>
          <w:rFonts w:ascii="Arial" w:hAnsi="Arial" w:cs="Arial"/>
          <w:bCs/>
          <w:spacing w:val="-3"/>
          <w:sz w:val="22"/>
          <w:szCs w:val="22"/>
        </w:rPr>
        <w:t>G</w:t>
      </w:r>
      <w:r w:rsidR="0022179E" w:rsidRPr="0090445D">
        <w:rPr>
          <w:rFonts w:ascii="Arial" w:hAnsi="Arial" w:cs="Arial"/>
          <w:bCs/>
          <w:spacing w:val="-3"/>
          <w:sz w:val="22"/>
          <w:szCs w:val="22"/>
        </w:rPr>
        <w:t>overnment will not repeal the PPRA off-road motorcycling noise provisions as recommended by the</w:t>
      </w:r>
      <w:r w:rsidRPr="0090445D">
        <w:rPr>
          <w:rFonts w:ascii="Arial" w:hAnsi="Arial" w:cs="Arial"/>
          <w:bCs/>
          <w:spacing w:val="-3"/>
          <w:sz w:val="22"/>
          <w:szCs w:val="22"/>
        </w:rPr>
        <w:t xml:space="preserve"> CMC</w:t>
      </w:r>
      <w:r w:rsidR="0022179E" w:rsidRPr="0090445D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Pr="0090445D">
        <w:rPr>
          <w:rFonts w:ascii="Arial" w:hAnsi="Arial" w:cs="Arial"/>
          <w:bCs/>
          <w:spacing w:val="-3"/>
          <w:sz w:val="22"/>
          <w:szCs w:val="22"/>
        </w:rPr>
        <w:t>Although local government is best positioned to deliver effective preventative measures and local solutions, an ongoing role for the police is required in the enforcement of off-road motorcycling laws because of the serious nature of some complaints</w:t>
      </w:r>
      <w:r w:rsidR="0008242D" w:rsidRPr="0090445D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595EDD" w:rsidRPr="00595EDD" w:rsidRDefault="003758C6" w:rsidP="0087032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A43A6">
        <w:rPr>
          <w:rFonts w:ascii="Arial" w:hAnsi="Arial" w:cs="Arial"/>
          <w:sz w:val="22"/>
          <w:szCs w:val="22"/>
        </w:rPr>
        <w:t>he establishment of</w:t>
      </w:r>
      <w:r w:rsidR="00F8420A">
        <w:rPr>
          <w:rFonts w:ascii="Arial" w:hAnsi="Arial" w:cs="Arial"/>
          <w:sz w:val="22"/>
          <w:szCs w:val="22"/>
        </w:rPr>
        <w:t xml:space="preserve"> the</w:t>
      </w:r>
      <w:r w:rsidR="001A43A6">
        <w:rPr>
          <w:rFonts w:ascii="Arial" w:hAnsi="Arial" w:cs="Arial"/>
          <w:sz w:val="22"/>
          <w:szCs w:val="22"/>
        </w:rPr>
        <w:t xml:space="preserve"> </w:t>
      </w:r>
      <w:r w:rsidR="001A43A6" w:rsidRPr="00F8420A">
        <w:rPr>
          <w:rFonts w:ascii="Arial" w:hAnsi="Arial" w:cs="Arial"/>
          <w:sz w:val="22"/>
          <w:szCs w:val="22"/>
        </w:rPr>
        <w:t>Off-Road Motorcycling Chief Executive Taskforce</w:t>
      </w:r>
      <w:r w:rsidR="00B563D1">
        <w:rPr>
          <w:rFonts w:ascii="Arial" w:hAnsi="Arial" w:cs="Arial"/>
          <w:sz w:val="22"/>
          <w:szCs w:val="22"/>
        </w:rPr>
        <w:t xml:space="preserve"> will oversee the following </w:t>
      </w:r>
      <w:r w:rsidR="00B7435C">
        <w:rPr>
          <w:rFonts w:ascii="Arial" w:hAnsi="Arial" w:cs="Arial"/>
          <w:sz w:val="22"/>
          <w:szCs w:val="22"/>
        </w:rPr>
        <w:t>key elements</w:t>
      </w:r>
      <w:r w:rsidR="00B563D1">
        <w:rPr>
          <w:rFonts w:ascii="Arial" w:hAnsi="Arial" w:cs="Arial"/>
          <w:sz w:val="22"/>
          <w:szCs w:val="22"/>
        </w:rPr>
        <w:t xml:space="preserve"> outlined in the </w:t>
      </w:r>
      <w:r w:rsidR="00B563D1">
        <w:rPr>
          <w:rFonts w:ascii="Arial" w:hAnsi="Arial" w:cs="Arial"/>
          <w:i/>
          <w:sz w:val="22"/>
          <w:szCs w:val="22"/>
        </w:rPr>
        <w:t xml:space="preserve">Off-Road Motorcycling </w:t>
      </w:r>
      <w:r w:rsidR="00B7435C">
        <w:rPr>
          <w:rFonts w:ascii="Arial" w:hAnsi="Arial" w:cs="Arial"/>
          <w:i/>
          <w:sz w:val="22"/>
          <w:szCs w:val="22"/>
        </w:rPr>
        <w:t>Management Strategy:</w:t>
      </w:r>
    </w:p>
    <w:p w:rsidR="00595EDD" w:rsidRPr="0090445D" w:rsidRDefault="00595EDD" w:rsidP="00CC64A6">
      <w:pPr>
        <w:numPr>
          <w:ilvl w:val="0"/>
          <w:numId w:val="22"/>
        </w:numPr>
        <w:spacing w:before="120"/>
        <w:ind w:left="782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445D">
        <w:rPr>
          <w:rFonts w:ascii="Arial" w:hAnsi="Arial" w:cs="Arial"/>
          <w:sz w:val="22"/>
          <w:szCs w:val="22"/>
        </w:rPr>
        <w:t xml:space="preserve">the development of </w:t>
      </w:r>
      <w:r w:rsidR="00BD06C9" w:rsidRPr="0090445D">
        <w:rPr>
          <w:rFonts w:ascii="Arial" w:hAnsi="Arial" w:cs="Arial"/>
          <w:sz w:val="22"/>
          <w:szCs w:val="22"/>
        </w:rPr>
        <w:t>Local Management Strategies, which is</w:t>
      </w:r>
      <w:r w:rsidRPr="0090445D">
        <w:rPr>
          <w:rFonts w:ascii="Arial" w:hAnsi="Arial" w:cs="Arial"/>
          <w:sz w:val="22"/>
          <w:szCs w:val="22"/>
        </w:rPr>
        <w:t xml:space="preserve"> </w:t>
      </w:r>
      <w:r w:rsidR="00F8420A">
        <w:rPr>
          <w:rFonts w:ascii="Arial" w:hAnsi="Arial" w:cs="Arial"/>
          <w:sz w:val="22"/>
          <w:szCs w:val="22"/>
        </w:rPr>
        <w:t xml:space="preserve">a </w:t>
      </w:r>
      <w:r w:rsidR="00BD06C9" w:rsidRPr="0090445D">
        <w:rPr>
          <w:rFonts w:ascii="Arial" w:hAnsi="Arial" w:cs="Arial"/>
          <w:sz w:val="22"/>
          <w:szCs w:val="22"/>
        </w:rPr>
        <w:t xml:space="preserve">new approach to the management and enforcement of off-road motorcycling </w:t>
      </w:r>
      <w:r w:rsidR="00F8420A">
        <w:rPr>
          <w:rFonts w:ascii="Arial" w:hAnsi="Arial" w:cs="Arial"/>
          <w:sz w:val="22"/>
          <w:szCs w:val="22"/>
        </w:rPr>
        <w:t>that</w:t>
      </w:r>
      <w:r w:rsidRPr="0090445D">
        <w:rPr>
          <w:rFonts w:ascii="Arial" w:hAnsi="Arial" w:cs="Arial"/>
          <w:sz w:val="22"/>
          <w:szCs w:val="22"/>
        </w:rPr>
        <w:t xml:space="preserve"> will involve collaboration between the state and local government;</w:t>
      </w:r>
    </w:p>
    <w:p w:rsidR="00595EDD" w:rsidRPr="0090445D" w:rsidRDefault="00595EDD" w:rsidP="00CC64A6">
      <w:pPr>
        <w:numPr>
          <w:ilvl w:val="0"/>
          <w:numId w:val="22"/>
        </w:numPr>
        <w:spacing w:before="120"/>
        <w:ind w:left="782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445D">
        <w:rPr>
          <w:rFonts w:ascii="Arial" w:hAnsi="Arial" w:cs="Arial"/>
          <w:sz w:val="22"/>
          <w:szCs w:val="22"/>
        </w:rPr>
        <w:t>the development of operational models for the joint enforcement of illegal off-road motorcycling on public land</w:t>
      </w:r>
      <w:r w:rsidR="0022179E" w:rsidRPr="0090445D">
        <w:rPr>
          <w:rFonts w:ascii="Arial" w:hAnsi="Arial" w:cs="Arial"/>
          <w:sz w:val="22"/>
          <w:szCs w:val="22"/>
        </w:rPr>
        <w:t xml:space="preserve"> as part of the Local Management Strategies</w:t>
      </w:r>
      <w:r w:rsidRPr="0090445D">
        <w:rPr>
          <w:rFonts w:ascii="Arial" w:hAnsi="Arial" w:cs="Arial"/>
          <w:sz w:val="22"/>
          <w:szCs w:val="22"/>
        </w:rPr>
        <w:t>;</w:t>
      </w:r>
    </w:p>
    <w:p w:rsidR="00595EDD" w:rsidRDefault="00595EDD" w:rsidP="00CC64A6">
      <w:pPr>
        <w:numPr>
          <w:ilvl w:val="0"/>
          <w:numId w:val="22"/>
        </w:numPr>
        <w:spacing w:before="120"/>
        <w:ind w:left="782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investigation of the costs and benefits of introducing an off-road motorcycle identification system to support the enforcement of illegal riding; </w:t>
      </w:r>
    </w:p>
    <w:p w:rsidR="00870321" w:rsidRPr="00595EDD" w:rsidRDefault="00B563D1" w:rsidP="00CC64A6">
      <w:pPr>
        <w:numPr>
          <w:ilvl w:val="0"/>
          <w:numId w:val="22"/>
        </w:numPr>
        <w:spacing w:before="120"/>
        <w:ind w:left="782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95EDD">
        <w:rPr>
          <w:rFonts w:ascii="Arial" w:hAnsi="Arial" w:cs="Arial"/>
          <w:sz w:val="22"/>
          <w:szCs w:val="22"/>
        </w:rPr>
        <w:t>nter-jurisdictional cooperation to address noise emissions from off-road motorcycles; and</w:t>
      </w:r>
    </w:p>
    <w:p w:rsidR="00595EDD" w:rsidRPr="00595EDD" w:rsidRDefault="00595EDD" w:rsidP="00CC64A6">
      <w:pPr>
        <w:numPr>
          <w:ilvl w:val="0"/>
          <w:numId w:val="22"/>
        </w:numPr>
        <w:spacing w:before="120"/>
        <w:ind w:left="782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further work to encourage the development of off-road motorcycling facilities. </w:t>
      </w:r>
    </w:p>
    <w:p w:rsidR="0073031E" w:rsidRPr="0073031E" w:rsidRDefault="00595EDD" w:rsidP="00595EDD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3031E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preliminary research has been undertaken </w:t>
      </w:r>
      <w:r w:rsidR="00F8420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investigat</w:t>
      </w:r>
      <w:r w:rsidR="00F842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the safety of children riding off-road motorcycles. </w:t>
      </w:r>
    </w:p>
    <w:p w:rsidR="00595EDD" w:rsidRPr="00595EDD" w:rsidRDefault="00595EDD" w:rsidP="00595EDD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3031E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that in progressing </w:t>
      </w:r>
      <w:r w:rsidR="0077194F">
        <w:rPr>
          <w:rFonts w:ascii="Arial" w:hAnsi="Arial" w:cs="Arial"/>
          <w:sz w:val="22"/>
          <w:szCs w:val="22"/>
        </w:rPr>
        <w:t>the strategy</w:t>
      </w:r>
      <w:r>
        <w:rPr>
          <w:rFonts w:ascii="Arial" w:hAnsi="Arial" w:cs="Arial"/>
          <w:sz w:val="22"/>
          <w:szCs w:val="22"/>
        </w:rPr>
        <w:t xml:space="preserve">, the </w:t>
      </w:r>
      <w:r w:rsidRPr="00F8420A">
        <w:rPr>
          <w:rFonts w:ascii="Arial" w:hAnsi="Arial" w:cs="Arial"/>
          <w:sz w:val="22"/>
          <w:szCs w:val="22"/>
        </w:rPr>
        <w:t>Chief Executive Taskforce</w:t>
      </w:r>
      <w:r w:rsidR="004E5B8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 w:rsidR="004E5B89">
        <w:rPr>
          <w:rFonts w:ascii="Arial" w:hAnsi="Arial" w:cs="Arial"/>
          <w:sz w:val="22"/>
          <w:szCs w:val="22"/>
        </w:rPr>
        <w:t xml:space="preserve"> oversee</w:t>
      </w:r>
      <w:r>
        <w:rPr>
          <w:rFonts w:ascii="Arial" w:hAnsi="Arial" w:cs="Arial"/>
          <w:sz w:val="22"/>
          <w:szCs w:val="22"/>
        </w:rPr>
        <w:t>:</w:t>
      </w:r>
    </w:p>
    <w:p w:rsidR="00595EDD" w:rsidRPr="00595EDD" w:rsidRDefault="00595EDD" w:rsidP="00CC64A6">
      <w:pPr>
        <w:numPr>
          <w:ilvl w:val="0"/>
          <w:numId w:val="24"/>
        </w:numPr>
        <w:tabs>
          <w:tab w:val="clear" w:pos="720"/>
          <w:tab w:val="num" w:pos="851"/>
        </w:tabs>
        <w:spacing w:before="120"/>
        <w:ind w:left="850" w:hanging="493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 research investigating the safety of children riding off-road motorcycles, including the investigation of interventions; an</w:t>
      </w:r>
      <w:r w:rsidR="004E5B89">
        <w:rPr>
          <w:rFonts w:ascii="Arial" w:hAnsi="Arial" w:cs="Arial"/>
          <w:sz w:val="22"/>
          <w:szCs w:val="22"/>
        </w:rPr>
        <w:t>d</w:t>
      </w:r>
    </w:p>
    <w:p w:rsidR="00870321" w:rsidRDefault="00595EDD" w:rsidP="00CC64A6">
      <w:pPr>
        <w:numPr>
          <w:ilvl w:val="0"/>
          <w:numId w:val="24"/>
        </w:numPr>
        <w:tabs>
          <w:tab w:val="clear" w:pos="720"/>
          <w:tab w:val="num" w:pos="851"/>
        </w:tabs>
        <w:spacing w:before="120"/>
        <w:ind w:left="850" w:hanging="4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development of education, safety and awareness strategies to promote safe and responsible riding practices. </w:t>
      </w:r>
    </w:p>
    <w:p w:rsidR="003758C6" w:rsidRPr="008B1F43" w:rsidRDefault="003758C6" w:rsidP="00CC64A6">
      <w:pPr>
        <w:numPr>
          <w:ilvl w:val="0"/>
          <w:numId w:val="20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Attachment:</w:t>
      </w:r>
    </w:p>
    <w:p w:rsidR="00F15972" w:rsidRPr="00C07656" w:rsidRDefault="005868CF" w:rsidP="00CC64A6">
      <w:pPr>
        <w:numPr>
          <w:ilvl w:val="1"/>
          <w:numId w:val="20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hyperlink r:id="rId7" w:history="1">
        <w:r w:rsidR="008B1F43" w:rsidRPr="00CC64A6">
          <w:rPr>
            <w:rStyle w:val="Hyperlink"/>
            <w:rFonts w:ascii="Arial" w:hAnsi="Arial" w:cs="Arial"/>
            <w:sz w:val="22"/>
            <w:szCs w:val="22"/>
          </w:rPr>
          <w:t>Off-Road Motorcycling Management Strategy</w:t>
        </w:r>
      </w:hyperlink>
    </w:p>
    <w:sectPr w:rsidR="00F15972" w:rsidRPr="00C07656" w:rsidSect="00CC64A6">
      <w:headerReference w:type="default" r:id="rId8"/>
      <w:footerReference w:type="default" r:id="rId9"/>
      <w:headerReference w:type="first" r:id="rId10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035" w:rsidRDefault="00AA0035">
      <w:r>
        <w:separator/>
      </w:r>
    </w:p>
  </w:endnote>
  <w:endnote w:type="continuationSeparator" w:id="0">
    <w:p w:rsidR="00AA0035" w:rsidRDefault="00AA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8C6" w:rsidRDefault="003758C6">
    <w:pPr>
      <w:pStyle w:val="Footer"/>
    </w:pPr>
    <w:r>
      <w:t>[Type text]</w:t>
    </w:r>
  </w:p>
  <w:p w:rsidR="003758C6" w:rsidRPr="001141E1" w:rsidRDefault="003758C6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035" w:rsidRDefault="00AA0035">
      <w:r>
        <w:separator/>
      </w:r>
    </w:p>
  </w:footnote>
  <w:footnote w:type="continuationSeparator" w:id="0">
    <w:p w:rsidR="00AA0035" w:rsidRDefault="00AA0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8C6" w:rsidRPr="000400F9" w:rsidRDefault="00343E42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8C6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3758C6">
      <w:rPr>
        <w:rFonts w:ascii="Arial" w:hAnsi="Arial" w:cs="Arial"/>
        <w:b/>
        <w:sz w:val="22"/>
        <w:szCs w:val="22"/>
        <w:u w:val="single"/>
      </w:rPr>
      <w:t>month year</w:t>
    </w:r>
  </w:p>
  <w:p w:rsidR="003758C6" w:rsidRDefault="003758C6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3758C6" w:rsidRDefault="003758C6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3758C6" w:rsidRPr="00F10DF9" w:rsidRDefault="003758C6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8C6" w:rsidRPr="000400F9" w:rsidRDefault="00343E42" w:rsidP="0087032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4" name="Picture 4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8C6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B33FD">
      <w:rPr>
        <w:rFonts w:ascii="Arial" w:hAnsi="Arial" w:cs="Arial"/>
        <w:b/>
        <w:sz w:val="22"/>
        <w:szCs w:val="22"/>
        <w:u w:val="single"/>
      </w:rPr>
      <w:t>November</w:t>
    </w:r>
    <w:r w:rsidR="003758C6">
      <w:rPr>
        <w:rFonts w:ascii="Arial" w:hAnsi="Arial" w:cs="Arial"/>
        <w:b/>
        <w:sz w:val="22"/>
        <w:szCs w:val="22"/>
        <w:u w:val="single"/>
      </w:rPr>
      <w:t xml:space="preserve"> 2010</w:t>
    </w:r>
  </w:p>
  <w:p w:rsidR="003758C6" w:rsidRDefault="003758C6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Response to the Crime and Misconduct Commission review of off-road motorcycle noise laws and future collaborative management of off-road motorcycling in </w:t>
    </w:r>
    <w:smartTag w:uri="urn:schemas-microsoft-com:office:smarttags" w:element="place">
      <w:smartTag w:uri="urn:schemas-microsoft-com:office:smarttags" w:element="Stat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>
      <w:rPr>
        <w:rFonts w:ascii="Arial" w:hAnsi="Arial" w:cs="Arial"/>
        <w:b/>
        <w:sz w:val="22"/>
        <w:szCs w:val="22"/>
        <w:u w:val="single"/>
      </w:rPr>
      <w:t xml:space="preserve">. </w:t>
    </w:r>
  </w:p>
  <w:p w:rsidR="003758C6" w:rsidRDefault="003758C6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Child Safety and Minister for Sport</w:t>
    </w:r>
  </w:p>
  <w:p w:rsidR="003758C6" w:rsidRPr="00F10DF9" w:rsidRDefault="003758C6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50B16"/>
    <w:multiLevelType w:val="hybridMultilevel"/>
    <w:tmpl w:val="D9A2C28E"/>
    <w:lvl w:ilvl="0" w:tplc="0C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312941"/>
    <w:multiLevelType w:val="hybridMultilevel"/>
    <w:tmpl w:val="D48A5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5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1607FC"/>
    <w:multiLevelType w:val="hybridMultilevel"/>
    <w:tmpl w:val="014CF8E6"/>
    <w:lvl w:ilvl="0" w:tplc="0C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509"/>
        </w:tabs>
        <w:ind w:left="1509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76F87"/>
    <w:multiLevelType w:val="hybridMultilevel"/>
    <w:tmpl w:val="CBC83C2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20"/>
  </w:num>
  <w:num w:numId="4">
    <w:abstractNumId w:val="14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15"/>
  </w:num>
  <w:num w:numId="13">
    <w:abstractNumId w:val="19"/>
  </w:num>
  <w:num w:numId="14">
    <w:abstractNumId w:val="5"/>
  </w:num>
  <w:num w:numId="15">
    <w:abstractNumId w:val="4"/>
  </w:num>
  <w:num w:numId="16">
    <w:abstractNumId w:val="13"/>
  </w:num>
  <w:num w:numId="17">
    <w:abstractNumId w:val="17"/>
  </w:num>
  <w:num w:numId="18">
    <w:abstractNumId w:val="18"/>
  </w:num>
  <w:num w:numId="19">
    <w:abstractNumId w:val="11"/>
  </w:num>
  <w:num w:numId="20">
    <w:abstractNumId w:val="22"/>
  </w:num>
  <w:num w:numId="21">
    <w:abstractNumId w:val="21"/>
  </w:num>
  <w:num w:numId="22">
    <w:abstractNumId w:val="16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90"/>
    <w:rsid w:val="000166A7"/>
    <w:rsid w:val="00021188"/>
    <w:rsid w:val="00041A0F"/>
    <w:rsid w:val="00070A40"/>
    <w:rsid w:val="00071D9D"/>
    <w:rsid w:val="0008242D"/>
    <w:rsid w:val="0009634A"/>
    <w:rsid w:val="000A1D7D"/>
    <w:rsid w:val="000A2BAC"/>
    <w:rsid w:val="000A6E5D"/>
    <w:rsid w:val="000B33FD"/>
    <w:rsid w:val="000C15F5"/>
    <w:rsid w:val="000C2437"/>
    <w:rsid w:val="000C7639"/>
    <w:rsid w:val="000D05D6"/>
    <w:rsid w:val="000E3F6A"/>
    <w:rsid w:val="001227DD"/>
    <w:rsid w:val="00124FE2"/>
    <w:rsid w:val="00126CC9"/>
    <w:rsid w:val="0014649D"/>
    <w:rsid w:val="0015685D"/>
    <w:rsid w:val="00156C19"/>
    <w:rsid w:val="0017782F"/>
    <w:rsid w:val="00182E54"/>
    <w:rsid w:val="00183D3B"/>
    <w:rsid w:val="001A43A6"/>
    <w:rsid w:val="001A74A9"/>
    <w:rsid w:val="001B5837"/>
    <w:rsid w:val="001C350C"/>
    <w:rsid w:val="001C7C54"/>
    <w:rsid w:val="001D5A2D"/>
    <w:rsid w:val="001E5583"/>
    <w:rsid w:val="001E6C9A"/>
    <w:rsid w:val="001F37E1"/>
    <w:rsid w:val="00216296"/>
    <w:rsid w:val="0022179E"/>
    <w:rsid w:val="00240160"/>
    <w:rsid w:val="00242B09"/>
    <w:rsid w:val="00273B58"/>
    <w:rsid w:val="002A6FC7"/>
    <w:rsid w:val="002C29EC"/>
    <w:rsid w:val="002E58D6"/>
    <w:rsid w:val="002E5AA0"/>
    <w:rsid w:val="002F7590"/>
    <w:rsid w:val="003024B9"/>
    <w:rsid w:val="00330878"/>
    <w:rsid w:val="0033391A"/>
    <w:rsid w:val="00340EF2"/>
    <w:rsid w:val="00343E42"/>
    <w:rsid w:val="00355608"/>
    <w:rsid w:val="003737C1"/>
    <w:rsid w:val="003758C6"/>
    <w:rsid w:val="00391750"/>
    <w:rsid w:val="003927E5"/>
    <w:rsid w:val="003A4AA8"/>
    <w:rsid w:val="003C5050"/>
    <w:rsid w:val="003C71CD"/>
    <w:rsid w:val="003D2408"/>
    <w:rsid w:val="003E2D89"/>
    <w:rsid w:val="00410285"/>
    <w:rsid w:val="00412A34"/>
    <w:rsid w:val="004149B9"/>
    <w:rsid w:val="00426309"/>
    <w:rsid w:val="00426D0F"/>
    <w:rsid w:val="00444DCF"/>
    <w:rsid w:val="00464036"/>
    <w:rsid w:val="00476361"/>
    <w:rsid w:val="004C65A5"/>
    <w:rsid w:val="004D7050"/>
    <w:rsid w:val="004D7381"/>
    <w:rsid w:val="004E3BC5"/>
    <w:rsid w:val="004E5B89"/>
    <w:rsid w:val="00527730"/>
    <w:rsid w:val="005425AB"/>
    <w:rsid w:val="005577AB"/>
    <w:rsid w:val="005868CF"/>
    <w:rsid w:val="00595EDD"/>
    <w:rsid w:val="005D5BB9"/>
    <w:rsid w:val="005E7616"/>
    <w:rsid w:val="00632BE5"/>
    <w:rsid w:val="0064268C"/>
    <w:rsid w:val="00656393"/>
    <w:rsid w:val="0066421E"/>
    <w:rsid w:val="00667828"/>
    <w:rsid w:val="0067667D"/>
    <w:rsid w:val="006E25A6"/>
    <w:rsid w:val="006E70B8"/>
    <w:rsid w:val="006F6B6F"/>
    <w:rsid w:val="00717378"/>
    <w:rsid w:val="0073031E"/>
    <w:rsid w:val="00742804"/>
    <w:rsid w:val="00745F4C"/>
    <w:rsid w:val="007653EB"/>
    <w:rsid w:val="0077194F"/>
    <w:rsid w:val="00782539"/>
    <w:rsid w:val="0079498D"/>
    <w:rsid w:val="00796D21"/>
    <w:rsid w:val="007B6771"/>
    <w:rsid w:val="007C1CF8"/>
    <w:rsid w:val="007C5B4B"/>
    <w:rsid w:val="007C6505"/>
    <w:rsid w:val="007D5192"/>
    <w:rsid w:val="007F46E4"/>
    <w:rsid w:val="00815127"/>
    <w:rsid w:val="00832489"/>
    <w:rsid w:val="00834946"/>
    <w:rsid w:val="00862C15"/>
    <w:rsid w:val="00867427"/>
    <w:rsid w:val="00870321"/>
    <w:rsid w:val="00877EC8"/>
    <w:rsid w:val="00897CB4"/>
    <w:rsid w:val="008A3F6F"/>
    <w:rsid w:val="008B1F43"/>
    <w:rsid w:val="0090137E"/>
    <w:rsid w:val="0090282F"/>
    <w:rsid w:val="0090445D"/>
    <w:rsid w:val="00910375"/>
    <w:rsid w:val="00911F6B"/>
    <w:rsid w:val="009175A7"/>
    <w:rsid w:val="009342A1"/>
    <w:rsid w:val="00934403"/>
    <w:rsid w:val="0094685D"/>
    <w:rsid w:val="009551A2"/>
    <w:rsid w:val="009566B7"/>
    <w:rsid w:val="00996D28"/>
    <w:rsid w:val="009B55C3"/>
    <w:rsid w:val="009E4DC1"/>
    <w:rsid w:val="009F2656"/>
    <w:rsid w:val="009F4298"/>
    <w:rsid w:val="009F65AF"/>
    <w:rsid w:val="00A00A7C"/>
    <w:rsid w:val="00A159BA"/>
    <w:rsid w:val="00A17ED0"/>
    <w:rsid w:val="00A41443"/>
    <w:rsid w:val="00A45816"/>
    <w:rsid w:val="00A65E72"/>
    <w:rsid w:val="00A67675"/>
    <w:rsid w:val="00A70444"/>
    <w:rsid w:val="00A8233A"/>
    <w:rsid w:val="00AA0035"/>
    <w:rsid w:val="00AB1381"/>
    <w:rsid w:val="00AB2DAE"/>
    <w:rsid w:val="00AB5421"/>
    <w:rsid w:val="00AB6F21"/>
    <w:rsid w:val="00AD6552"/>
    <w:rsid w:val="00AF610D"/>
    <w:rsid w:val="00B0525E"/>
    <w:rsid w:val="00B377F3"/>
    <w:rsid w:val="00B55D94"/>
    <w:rsid w:val="00B563D1"/>
    <w:rsid w:val="00B7435C"/>
    <w:rsid w:val="00B97FB4"/>
    <w:rsid w:val="00BA5630"/>
    <w:rsid w:val="00BB1AFC"/>
    <w:rsid w:val="00BD06C9"/>
    <w:rsid w:val="00BD5C1A"/>
    <w:rsid w:val="00BE346E"/>
    <w:rsid w:val="00BE6E90"/>
    <w:rsid w:val="00BF35DF"/>
    <w:rsid w:val="00BF46CA"/>
    <w:rsid w:val="00C0535B"/>
    <w:rsid w:val="00C16E01"/>
    <w:rsid w:val="00C17E3B"/>
    <w:rsid w:val="00C30A86"/>
    <w:rsid w:val="00C31326"/>
    <w:rsid w:val="00C44A05"/>
    <w:rsid w:val="00C51F18"/>
    <w:rsid w:val="00CB44E7"/>
    <w:rsid w:val="00CC0A18"/>
    <w:rsid w:val="00CC64A6"/>
    <w:rsid w:val="00D740A8"/>
    <w:rsid w:val="00D82051"/>
    <w:rsid w:val="00D84B5E"/>
    <w:rsid w:val="00D96412"/>
    <w:rsid w:val="00DA6C5D"/>
    <w:rsid w:val="00DD1780"/>
    <w:rsid w:val="00DD6BA7"/>
    <w:rsid w:val="00DE73D5"/>
    <w:rsid w:val="00DF003E"/>
    <w:rsid w:val="00DF08D6"/>
    <w:rsid w:val="00DF2E2C"/>
    <w:rsid w:val="00DF69A7"/>
    <w:rsid w:val="00E129B6"/>
    <w:rsid w:val="00E464DD"/>
    <w:rsid w:val="00E539DE"/>
    <w:rsid w:val="00E814F1"/>
    <w:rsid w:val="00E84E0F"/>
    <w:rsid w:val="00EA3237"/>
    <w:rsid w:val="00EB074A"/>
    <w:rsid w:val="00EC026F"/>
    <w:rsid w:val="00EC0396"/>
    <w:rsid w:val="00EC3182"/>
    <w:rsid w:val="00EC3D68"/>
    <w:rsid w:val="00ED29FB"/>
    <w:rsid w:val="00EE23E9"/>
    <w:rsid w:val="00EE25B4"/>
    <w:rsid w:val="00F023B9"/>
    <w:rsid w:val="00F03B90"/>
    <w:rsid w:val="00F04337"/>
    <w:rsid w:val="00F07969"/>
    <w:rsid w:val="00F15972"/>
    <w:rsid w:val="00F333F5"/>
    <w:rsid w:val="00F4527D"/>
    <w:rsid w:val="00F515D3"/>
    <w:rsid w:val="00F561A5"/>
    <w:rsid w:val="00F60E8C"/>
    <w:rsid w:val="00F679C1"/>
    <w:rsid w:val="00F710BF"/>
    <w:rsid w:val="00F822D6"/>
    <w:rsid w:val="00F8420A"/>
    <w:rsid w:val="00F84EFB"/>
    <w:rsid w:val="00F8614C"/>
    <w:rsid w:val="00F928BF"/>
    <w:rsid w:val="00F93C82"/>
    <w:rsid w:val="00FA33B7"/>
    <w:rsid w:val="00FB34E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3031E"/>
    <w:rPr>
      <w:color w:val="000000"/>
      <w:sz w:val="24"/>
    </w:rPr>
  </w:style>
  <w:style w:type="character" w:styleId="Hyperlink">
    <w:name w:val="Hyperlink"/>
    <w:basedOn w:val="DefaultParagraphFont"/>
    <w:rsid w:val="00CC6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Off-Road%20Motorcycling%20Management%20Strateg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harris\Local%20Settings\Temporary%20Internet%20Files\OLK1A2\Policy%20Submission%20Annotated%20Template%20v3%20Mar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Annotated Template v3 Mar10.dot</Template>
  <TotalTime>0</TotalTime>
  <Pages>1</Pages>
  <Words>343</Words>
  <Characters>2147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2489</CharactersWithSpaces>
  <SharedDoc>false</SharedDoc>
  <HyperlinkBase>https://www.cabinet.qld.gov.au/documents/2010/Nov/Response to CMC Review of off-road motorcycling/</HyperlinkBase>
  <HLinks>
    <vt:vector size="6" baseType="variant">
      <vt:variant>
        <vt:i4>2031628</vt:i4>
      </vt:variant>
      <vt:variant>
        <vt:i4>0</vt:i4>
      </vt:variant>
      <vt:variant>
        <vt:i4>0</vt:i4>
      </vt:variant>
      <vt:variant>
        <vt:i4>5</vt:i4>
      </vt:variant>
      <vt:variant>
        <vt:lpwstr>Attachments/Off-Road Motorcycling Management Strategy.pdf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2011-08-19T00:38:00Z</cp:lastPrinted>
  <dcterms:created xsi:type="dcterms:W3CDTF">2017-10-24T22:21:00Z</dcterms:created>
  <dcterms:modified xsi:type="dcterms:W3CDTF">2018-03-06T01:05:00Z</dcterms:modified>
  <cp:category>Crime_and_Misconduct_Commission,Police,Sport</cp:category>
</cp:coreProperties>
</file>